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B1E" w:rsidRDefault="00FD1478" w:rsidP="00864B1E">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bookmarkStart w:id="0" w:name="_GoBack"/>
      <w:bookmarkEnd w:id="0"/>
      <w:r>
        <w:rPr>
          <w:rFonts w:ascii="Traditional Arabic" w:eastAsia="Calibri" w:hAnsi="Traditional Arabic" w:cs="Traditional Arabic" w:hint="cs"/>
          <w:color w:val="000000"/>
          <w:sz w:val="36"/>
          <w:szCs w:val="36"/>
          <w:rtl/>
          <w:lang w:bidi="ar-YE"/>
        </w:rPr>
        <w:t xml:space="preserve"> </w:t>
      </w:r>
    </w:p>
    <w:p w:rsidR="00FD1478" w:rsidRDefault="00FD1478" w:rsidP="00FD1478">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FD1478" w:rsidRDefault="00FD1478" w:rsidP="00FD1478">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FD1478" w:rsidRDefault="00FD1478" w:rsidP="00FD1478">
      <w:pPr>
        <w:autoSpaceDE w:val="0"/>
        <w:autoSpaceDN w:val="0"/>
        <w:bidi/>
        <w:adjustRightInd w:val="0"/>
        <w:spacing w:before="142" w:after="0" w:line="288" w:lineRule="auto"/>
        <w:textAlignment w:val="center"/>
        <w:rPr>
          <w:rFonts w:ascii="Traditional Arabic" w:eastAsia="Calibri" w:hAnsi="Traditional Arabic" w:cs="Traditional Arabic" w:hint="cs"/>
          <w:color w:val="000000"/>
          <w:sz w:val="36"/>
          <w:szCs w:val="36"/>
          <w:rtl/>
          <w:lang w:bidi="ar-YE"/>
        </w:rPr>
      </w:pPr>
    </w:p>
    <w:p w:rsidR="00FD1478" w:rsidRPr="00FD1478" w:rsidRDefault="00FD1478" w:rsidP="00FD1478">
      <w:pPr>
        <w:autoSpaceDE w:val="0"/>
        <w:autoSpaceDN w:val="0"/>
        <w:bidi/>
        <w:adjustRightInd w:val="0"/>
        <w:spacing w:before="142" w:after="0" w:line="288" w:lineRule="auto"/>
        <w:jc w:val="center"/>
        <w:textAlignment w:val="center"/>
        <w:rPr>
          <w:rFonts w:ascii="Traditional Arabic" w:eastAsia="Calibri" w:hAnsi="Traditional Arabic" w:cs="Traditional Arabic"/>
          <w:b/>
          <w:bCs/>
          <w:color w:val="1F497D" w:themeColor="text2"/>
          <w:sz w:val="72"/>
          <w:szCs w:val="72"/>
          <w:rtl/>
          <w:lang w:bidi="ar-YE"/>
        </w:rPr>
      </w:pPr>
      <w:r w:rsidRPr="00FD1478">
        <w:rPr>
          <w:rFonts w:ascii="Traditional Arabic" w:eastAsia="Calibri" w:hAnsi="Traditional Arabic" w:cs="Traditional Arabic" w:hint="cs"/>
          <w:b/>
          <w:bCs/>
          <w:color w:val="1F497D" w:themeColor="text2"/>
          <w:sz w:val="72"/>
          <w:szCs w:val="72"/>
          <w:rtl/>
          <w:lang w:bidi="ar-YE"/>
        </w:rPr>
        <w:t>كيفية اكتساب مهارة التعبير القانوني للمحامي المتدرب</w:t>
      </w:r>
    </w:p>
    <w:p w:rsidR="00FD1478" w:rsidRDefault="00FD1478" w:rsidP="00FD1478">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FD1478" w:rsidRPr="00FD1478" w:rsidRDefault="00FD1478" w:rsidP="00FD1478">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1F497D" w:themeColor="text2"/>
          <w:sz w:val="44"/>
          <w:szCs w:val="44"/>
          <w:rtl/>
          <w:lang w:bidi="ar-YE"/>
        </w:rPr>
      </w:pPr>
      <w:r w:rsidRPr="00FD1478">
        <w:rPr>
          <w:rFonts w:ascii="Traditional Arabic" w:eastAsia="Calibri" w:hAnsi="Traditional Arabic" w:cs="Traditional Arabic" w:hint="cs"/>
          <w:color w:val="1F497D" w:themeColor="text2"/>
          <w:sz w:val="44"/>
          <w:szCs w:val="44"/>
          <w:rtl/>
          <w:lang w:bidi="ar-YE"/>
        </w:rPr>
        <w:t>إعداد</w:t>
      </w:r>
    </w:p>
    <w:p w:rsidR="00FD1478" w:rsidRPr="00FD1478" w:rsidRDefault="00FD1478" w:rsidP="00FD1478">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1F497D" w:themeColor="text2"/>
          <w:sz w:val="44"/>
          <w:szCs w:val="44"/>
          <w:rtl/>
          <w:lang w:bidi="ar-YE"/>
        </w:rPr>
      </w:pPr>
      <w:r w:rsidRPr="00FD1478">
        <w:rPr>
          <w:rFonts w:ascii="Traditional Arabic" w:eastAsia="Calibri" w:hAnsi="Traditional Arabic" w:cs="Traditional Arabic" w:hint="cs"/>
          <w:color w:val="1F497D" w:themeColor="text2"/>
          <w:sz w:val="44"/>
          <w:szCs w:val="44"/>
          <w:rtl/>
          <w:lang w:bidi="ar-YE"/>
        </w:rPr>
        <w:t>د. حسام الدين سليمان</w:t>
      </w:r>
    </w:p>
    <w:p w:rsidR="00FD1478" w:rsidRDefault="00FD1478" w:rsidP="00FD1478">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FD1478" w:rsidRDefault="00FD1478" w:rsidP="00FD1478">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FD1478" w:rsidRDefault="00FD1478" w:rsidP="00FD1478">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FD1478" w:rsidRDefault="00FD1478" w:rsidP="00FD1478">
      <w:pPr>
        <w:autoSpaceDE w:val="0"/>
        <w:autoSpaceDN w:val="0"/>
        <w:bidi/>
        <w:adjustRightInd w:val="0"/>
        <w:spacing w:before="142" w:after="0" w:line="288" w:lineRule="auto"/>
        <w:jc w:val="center"/>
        <w:textAlignment w:val="center"/>
        <w:rPr>
          <w:rFonts w:ascii="Traditional Arabic" w:eastAsia="Calibri" w:hAnsi="Traditional Arabic" w:cs="Traditional Arabic" w:hint="cs"/>
          <w:color w:val="000000"/>
          <w:sz w:val="36"/>
          <w:szCs w:val="36"/>
          <w:rtl/>
          <w:lang w:bidi="ar-YE"/>
        </w:rPr>
      </w:pPr>
    </w:p>
    <w:p w:rsidR="00FD1478" w:rsidRDefault="00FD1478" w:rsidP="00FD1478">
      <w:pPr>
        <w:autoSpaceDE w:val="0"/>
        <w:autoSpaceDN w:val="0"/>
        <w:bidi/>
        <w:adjustRightInd w:val="0"/>
        <w:spacing w:before="142" w:after="0" w:line="288" w:lineRule="auto"/>
        <w:textAlignment w:val="center"/>
        <w:rPr>
          <w:rFonts w:ascii="Traditional Arabic" w:eastAsia="Calibri" w:hAnsi="Traditional Arabic" w:cs="Traditional Arabic" w:hint="cs"/>
          <w:color w:val="000000"/>
          <w:sz w:val="36"/>
          <w:szCs w:val="36"/>
          <w:rtl/>
          <w:lang w:bidi="ar-YE"/>
        </w:rPr>
      </w:pPr>
    </w:p>
    <w:p w:rsidR="00FD1478" w:rsidRPr="00FD1478" w:rsidRDefault="00FD1478" w:rsidP="00FD1478">
      <w:pPr>
        <w:autoSpaceDE w:val="0"/>
        <w:autoSpaceDN w:val="0"/>
        <w:bidi/>
        <w:adjustRightInd w:val="0"/>
        <w:spacing w:before="142" w:after="0" w:line="288" w:lineRule="auto"/>
        <w:jc w:val="center"/>
        <w:textAlignment w:val="center"/>
        <w:rPr>
          <w:rFonts w:ascii="Traditional Arabic" w:eastAsia="Calibri" w:hAnsi="Traditional Arabic" w:cs="Traditional Arabic" w:hint="cs"/>
          <w:b/>
          <w:bCs/>
          <w:color w:val="000000"/>
          <w:sz w:val="36"/>
          <w:szCs w:val="36"/>
          <w:rtl/>
          <w:lang w:bidi="ar-YE"/>
        </w:rPr>
      </w:pPr>
      <w:r w:rsidRPr="00FD1478">
        <w:rPr>
          <w:rFonts w:ascii="Traditional Arabic" w:eastAsia="Calibri" w:hAnsi="Traditional Arabic" w:cs="Traditional Arabic" w:hint="cs"/>
          <w:b/>
          <w:bCs/>
          <w:color w:val="000000"/>
          <w:sz w:val="36"/>
          <w:szCs w:val="36"/>
          <w:rtl/>
          <w:lang w:bidi="ar-YE"/>
        </w:rPr>
        <w:lastRenderedPageBreak/>
        <w:t>عنوان البحث</w:t>
      </w:r>
    </w:p>
    <w:p w:rsidR="00864B1E" w:rsidRPr="00864B1E" w:rsidRDefault="00864B1E" w:rsidP="00864B1E">
      <w:pPr>
        <w:autoSpaceDE w:val="0"/>
        <w:autoSpaceDN w:val="0"/>
        <w:bidi/>
        <w:adjustRightInd w:val="0"/>
        <w:spacing w:before="142" w:after="0" w:line="288" w:lineRule="auto"/>
        <w:jc w:val="center"/>
        <w:textAlignment w:val="center"/>
        <w:rPr>
          <w:rFonts w:ascii="Traditional Arabic" w:eastAsia="Calibri" w:hAnsi="Traditional Arabic" w:cs="Traditional Arabic"/>
          <w:b/>
          <w:bCs/>
          <w:color w:val="000000"/>
          <w:sz w:val="40"/>
          <w:szCs w:val="40"/>
          <w:rtl/>
          <w:lang w:bidi="ar-YE"/>
        </w:rPr>
      </w:pPr>
      <w:r w:rsidRPr="00864B1E">
        <w:rPr>
          <w:rFonts w:ascii="Traditional Arabic" w:eastAsia="Calibri" w:hAnsi="Traditional Arabic" w:cs="Traditional Arabic" w:hint="cs"/>
          <w:b/>
          <w:bCs/>
          <w:color w:val="000000"/>
          <w:sz w:val="40"/>
          <w:szCs w:val="40"/>
          <w:rtl/>
          <w:lang w:bidi="ar-YE"/>
        </w:rPr>
        <w:t>كيفية اكتساب مهارة التعبير القانوني للمحامي المتدرب</w:t>
      </w:r>
    </w:p>
    <w:p w:rsidR="00864B1E" w:rsidRPr="00864B1E" w:rsidRDefault="00864B1E" w:rsidP="00864B1E">
      <w:pPr>
        <w:autoSpaceDE w:val="0"/>
        <w:autoSpaceDN w:val="0"/>
        <w:bidi/>
        <w:adjustRightInd w:val="0"/>
        <w:spacing w:before="142" w:after="0" w:line="440" w:lineRule="atLeast"/>
        <w:ind w:firstLine="567"/>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تعد مهارة التعبير القانوني من أصعب المهارات لدى المتدرب على فن المحاماة نظراً لضعف ثقافته القانونية والمعرفية وقلة خبرته الع</w:t>
      </w:r>
      <w:r>
        <w:rPr>
          <w:rFonts w:ascii="Traditional Arabic" w:eastAsia="Calibri" w:hAnsi="Traditional Arabic" w:cs="Traditional Arabic"/>
          <w:color w:val="000000"/>
          <w:spacing w:val="8"/>
          <w:sz w:val="36"/>
          <w:szCs w:val="36"/>
          <w:rtl/>
          <w:lang w:bidi="ar-YE"/>
        </w:rPr>
        <w:t xml:space="preserve">ملية، لذلك من الأهمية بمكان أن </w:t>
      </w:r>
      <w:r>
        <w:rPr>
          <w:rFonts w:ascii="Traditional Arabic" w:eastAsia="Calibri" w:hAnsi="Traditional Arabic" w:cs="Traditional Arabic" w:hint="cs"/>
          <w:color w:val="000000"/>
          <w:spacing w:val="8"/>
          <w:sz w:val="36"/>
          <w:szCs w:val="36"/>
          <w:rtl/>
          <w:lang w:bidi="ar-YE"/>
        </w:rPr>
        <w:t>أ</w:t>
      </w:r>
      <w:r w:rsidRPr="00864B1E">
        <w:rPr>
          <w:rFonts w:ascii="Traditional Arabic" w:eastAsia="Calibri" w:hAnsi="Traditional Arabic" w:cs="Traditional Arabic"/>
          <w:color w:val="000000"/>
          <w:spacing w:val="8"/>
          <w:sz w:val="36"/>
          <w:szCs w:val="36"/>
          <w:rtl/>
          <w:lang w:bidi="ar-YE"/>
        </w:rPr>
        <w:t xml:space="preserve">تناول الحديث عن قواعد القراءة السليمة لصحف الدعاوى والأحكام ونصوص النظام، تمهيداً للوصول إلى كيفية تعلم واكتساب مهارة الكتابة القانونية، مع إلقاء الضوء على دور المصطلحات القانونية وكيفية استخدامها بشكل سليم في الوثائق القانونية، </w:t>
      </w:r>
      <w:r>
        <w:rPr>
          <w:rFonts w:ascii="Traditional Arabic" w:eastAsia="Calibri" w:hAnsi="Traditional Arabic" w:cs="Traditional Arabic" w:hint="cs"/>
          <w:color w:val="000000"/>
          <w:spacing w:val="8"/>
          <w:sz w:val="36"/>
          <w:szCs w:val="36"/>
          <w:rtl/>
          <w:lang w:bidi="ar-YE"/>
        </w:rPr>
        <w:t>وسأعرض لذلك من خلال المطلبين التاليين:</w:t>
      </w:r>
    </w:p>
    <w:p w:rsidR="00864B1E" w:rsidRPr="00864B1E" w:rsidRDefault="00864B1E" w:rsidP="00864B1E">
      <w:pPr>
        <w:autoSpaceDE w:val="0"/>
        <w:autoSpaceDN w:val="0"/>
        <w:bidi/>
        <w:adjustRightInd w:val="0"/>
        <w:spacing w:before="142" w:after="0" w:line="240" w:lineRule="auto"/>
        <w:jc w:val="center"/>
        <w:textAlignment w:val="center"/>
        <w:rPr>
          <w:rFonts w:ascii="Traditional Arabic" w:eastAsia="Calibri" w:hAnsi="Traditional Arabic" w:cs="Traditional Arabic"/>
          <w:b/>
          <w:bCs/>
          <w:color w:val="000000"/>
          <w:sz w:val="36"/>
          <w:szCs w:val="36"/>
          <w:rtl/>
          <w:lang w:bidi="ar-YE"/>
        </w:rPr>
      </w:pPr>
      <w:r w:rsidRPr="00864B1E">
        <w:rPr>
          <w:rFonts w:ascii="Traditional Arabic" w:eastAsia="Calibri" w:hAnsi="Traditional Arabic" w:cs="Traditional Arabic"/>
          <w:b/>
          <w:bCs/>
          <w:color w:val="000000"/>
          <w:sz w:val="36"/>
          <w:szCs w:val="36"/>
          <w:rtl/>
          <w:lang w:bidi="ar-YE"/>
        </w:rPr>
        <w:t>المطلب الأول</w:t>
      </w:r>
    </w:p>
    <w:p w:rsidR="00864B1E" w:rsidRPr="00864B1E" w:rsidRDefault="00864B1E" w:rsidP="00864B1E">
      <w:pPr>
        <w:autoSpaceDE w:val="0"/>
        <w:autoSpaceDN w:val="0"/>
        <w:bidi/>
        <w:adjustRightInd w:val="0"/>
        <w:spacing w:before="142" w:after="0" w:line="240" w:lineRule="auto"/>
        <w:jc w:val="center"/>
        <w:textAlignment w:val="center"/>
        <w:rPr>
          <w:rFonts w:ascii="Traditional Arabic" w:eastAsia="Calibri" w:hAnsi="Traditional Arabic" w:cs="Traditional Arabic"/>
          <w:b/>
          <w:bCs/>
          <w:color w:val="000000"/>
          <w:sz w:val="36"/>
          <w:szCs w:val="36"/>
          <w:rtl/>
          <w:lang w:bidi="ar-YE"/>
        </w:rPr>
      </w:pPr>
      <w:r w:rsidRPr="00864B1E">
        <w:rPr>
          <w:rFonts w:ascii="Traditional Arabic" w:eastAsia="Calibri" w:hAnsi="Traditional Arabic" w:cs="Traditional Arabic"/>
          <w:b/>
          <w:bCs/>
          <w:color w:val="000000"/>
          <w:sz w:val="36"/>
          <w:szCs w:val="36"/>
          <w:rtl/>
          <w:lang w:bidi="ar-YE"/>
        </w:rPr>
        <w:t>القراءة المنهجية السليمة للوثائق القانونية</w:t>
      </w:r>
    </w:p>
    <w:p w:rsidR="00864B1E" w:rsidRPr="00864B1E" w:rsidRDefault="00864B1E" w:rsidP="00864B1E">
      <w:pPr>
        <w:autoSpaceDE w:val="0"/>
        <w:autoSpaceDN w:val="0"/>
        <w:bidi/>
        <w:adjustRightInd w:val="0"/>
        <w:spacing w:before="142" w:after="0" w:line="440" w:lineRule="atLeast"/>
        <w:ind w:firstLine="567"/>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 xml:space="preserve">يقصد بمنهجية القراءة في مجال القانون: استخدام الأسلوب المنهجي في قراءة الوثيقة القانونية سواء أكانت عقداً أو حكماً قضائياً أو نصاً نظامياً، ويعني ذلك بيان كيف يمكن القراءة بالشكل السليم الذي من شأنه بلوغ الهدف من القراءة، ويختلف ذلك بلا شك من وثيقة قانونية وأخرى. أو بمعنى آخر تحديد استراتيجية معروف بدايتها ونهايتها وأهدافها والنتائج المرغوب تحقيقها عند التعامل مع الوثيقة القانونية، وذلك سوف يتضح بالأمثلة التالية: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64B1E">
        <w:rPr>
          <w:rFonts w:ascii="Traditional Arabic" w:eastAsia="Calibri" w:hAnsi="Traditional Arabic" w:cs="Traditional Arabic"/>
          <w:b/>
          <w:bCs/>
          <w:color w:val="000000"/>
          <w:spacing w:val="3"/>
          <w:sz w:val="36"/>
          <w:szCs w:val="36"/>
          <w:rtl/>
          <w:lang w:bidi="ar-YE"/>
        </w:rPr>
        <w:t xml:space="preserve">أولاً: منهج قراءة النصوص النظامية: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 xml:space="preserve">إن الادراك الواعي للنص القانوني يستلزم اتباع خطوات تمهيدية في البداية كمقدمات أساسية للفهم الصحيح للنص النظامي وهي مجموعة من التساؤلات بعد الإجابة عليها يتم الانتقال إلى مرحلة أخرى وهي تقسيم النص إلى أجزاء حتى يسهل قراءته ثم التعمق في </w:t>
      </w:r>
      <w:r w:rsidRPr="00864B1E">
        <w:rPr>
          <w:rFonts w:ascii="Traditional Arabic" w:eastAsia="Calibri" w:hAnsi="Traditional Arabic" w:cs="Traditional Arabic"/>
          <w:color w:val="000000"/>
          <w:spacing w:val="8"/>
          <w:sz w:val="36"/>
          <w:szCs w:val="36"/>
          <w:rtl/>
          <w:lang w:bidi="ar-YE"/>
        </w:rPr>
        <w:lastRenderedPageBreak/>
        <w:t xml:space="preserve">تناول النص بالقراءة وترجمة ما به من مصطلحات قانونية حتى يتسنى فهم مضمونه وذلك على التفصيل التالي: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64B1E">
        <w:rPr>
          <w:rFonts w:ascii="Traditional Arabic" w:eastAsia="Calibri" w:hAnsi="Traditional Arabic" w:cs="Traditional Arabic"/>
          <w:b/>
          <w:bCs/>
          <w:color w:val="000000"/>
          <w:spacing w:val="3"/>
          <w:sz w:val="36"/>
          <w:szCs w:val="36"/>
          <w:rtl/>
          <w:lang w:bidi="ar-YE"/>
        </w:rPr>
        <w:t xml:space="preserve">(1) المقدمات الأساسية لفهم النص النظامي: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3"/>
          <w:sz w:val="36"/>
          <w:szCs w:val="36"/>
          <w:rtl/>
          <w:lang w:bidi="ar-YE"/>
        </w:rPr>
      </w:pPr>
      <w:r w:rsidRPr="00864B1E">
        <w:rPr>
          <w:rFonts w:ascii="Traditional Arabic" w:eastAsia="Calibri" w:hAnsi="Traditional Arabic" w:cs="Traditional Arabic"/>
          <w:color w:val="000000"/>
          <w:spacing w:val="3"/>
          <w:sz w:val="36"/>
          <w:szCs w:val="36"/>
          <w:rtl/>
          <w:lang w:bidi="ar-YE"/>
        </w:rPr>
        <w:t xml:space="preserve">إن الفهم الجيد لأي نص نظامي يقتضي في البداية طرح مجموعة من التساؤلات: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ما هو القانون الذي ينتمي إليه النص؟ أي هل ينتمي النص للقانون العام (مثل نصوص نظام جرائم التزوير ونظام مكافحة جرائم الإرهاب وتمويله) أم القانون الخاص (مثل نصوص نظام الشركات والرهن التجاري)</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 xml:space="preserve">هل النص النظامي ينتمي لنظام إجرائي أم موضوعي؟ إجرائي (مثل نظام المرافعات الشرعية ونظام الإجراءات الجزائية) أم نظام موضوعي (مثل نظام الشركات ونظام جرائم التزوير) مع العلم بأن العبرة في وصف النظام بأنه إجرائي أم موضوعي هو بالصفة الغالبة للنصوص النظامية.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ويجب التساؤل أيضاً حول النص وهل ينتمي لنظام جديد لم يصدر من قبل (مثل نظام مكافحة جرائم الإرهاب وتمويله) أم نظام جديد وألغي نظام سابق (مثل نظام الشركات الجديد، ونظام المرافعات الشرعية الجديد ونظام القضاء الجديد)، وهل النظام المنتمي إليه النص قد صدرت له لائحة تنفيذية أم لا؟</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64B1E">
        <w:rPr>
          <w:rFonts w:ascii="Traditional Arabic" w:eastAsia="Calibri" w:hAnsi="Traditional Arabic" w:cs="Traditional Arabic"/>
          <w:b/>
          <w:bCs/>
          <w:color w:val="000000"/>
          <w:spacing w:val="3"/>
          <w:sz w:val="36"/>
          <w:szCs w:val="36"/>
          <w:rtl/>
          <w:lang w:bidi="ar-YE"/>
        </w:rPr>
        <w:t xml:space="preserve">(2) تقسيم النص المراد قراءته إلى أجزاء: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 xml:space="preserve">قد يحدث كثيراً أن يكون النص محل الاطلاع عليه عبارة عن مادة أو فقرة واحدة طويلة تحتوي على مجموعة جمل قانونية، وهنا يلزم تقسيم الفقرة إلى عدة جمل منفصلة، ومثال ذلك: (الفقرة الأولى من المادة السادسة من نظام الشركات ونصها: " إذا كانت حصة الشريك حق ملكية أو حق منفعة أو أي حق عيني آخر، كان الشريك مسئولاً - وفقاً لأحكام عقد البيع - عن ضمان الحصة في حالة الهلاك أو الاستحقاق أو ظهور عيب أو </w:t>
      </w:r>
      <w:r w:rsidRPr="00864B1E">
        <w:rPr>
          <w:rFonts w:ascii="Traditional Arabic" w:eastAsia="Calibri" w:hAnsi="Traditional Arabic" w:cs="Traditional Arabic"/>
          <w:color w:val="000000"/>
          <w:spacing w:val="8"/>
          <w:sz w:val="36"/>
          <w:szCs w:val="36"/>
          <w:rtl/>
          <w:lang w:bidi="ar-YE"/>
        </w:rPr>
        <w:lastRenderedPageBreak/>
        <w:t xml:space="preserve">نقص فيها، وإذا كانت حصة الشريك مجرد الانتفاع بحق شخصي على المال، طبقت أحكام عقد الإيجار على الأمور المذكورة " </w:t>
      </w:r>
      <w:r w:rsidRPr="00864B1E">
        <w:rPr>
          <w:rFonts w:ascii="Traditional Arabic" w:eastAsia="Calibri" w:hAnsi="Traditional Arabic" w:cs="Traditional Arabic"/>
          <w:color w:val="000000"/>
          <w:spacing w:val="8"/>
          <w:sz w:val="36"/>
          <w:szCs w:val="36"/>
          <w:vertAlign w:val="superscript"/>
          <w:rtl/>
          <w:lang w:bidi="ar-YE"/>
        </w:rPr>
        <w:footnoteReference w:id="1"/>
      </w:r>
      <w:r w:rsidRPr="00864B1E">
        <w:rPr>
          <w:rFonts w:ascii="Traditional Arabic" w:eastAsia="Calibri" w:hAnsi="Traditional Arabic" w:cs="Traditional Arabic"/>
          <w:color w:val="000000"/>
          <w:spacing w:val="8"/>
          <w:sz w:val="36"/>
          <w:szCs w:val="36"/>
          <w:rtl/>
          <w:lang w:bidi="ar-YE"/>
        </w:rPr>
        <w:t xml:space="preserve">.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وهنا يجب تقسيم الفقرة السابقة إلى جزئي</w:t>
      </w:r>
      <w:r w:rsidR="00FD1478">
        <w:rPr>
          <w:rFonts w:ascii="Traditional Arabic" w:eastAsia="Calibri" w:hAnsi="Traditional Arabic" w:cs="Traditional Arabic" w:hint="cs"/>
          <w:color w:val="000000"/>
          <w:spacing w:val="8"/>
          <w:sz w:val="36"/>
          <w:szCs w:val="36"/>
          <w:rtl/>
          <w:lang w:bidi="ar-YE"/>
        </w:rPr>
        <w:t>تي</w:t>
      </w:r>
      <w:r w:rsidRPr="00864B1E">
        <w:rPr>
          <w:rFonts w:ascii="Traditional Arabic" w:eastAsia="Calibri" w:hAnsi="Traditional Arabic" w:cs="Traditional Arabic"/>
          <w:color w:val="000000"/>
          <w:spacing w:val="8"/>
          <w:sz w:val="36"/>
          <w:szCs w:val="36"/>
          <w:rtl/>
          <w:lang w:bidi="ar-YE"/>
        </w:rPr>
        <w:t>ن: الأول يتعلق بافتراض أن حصة الشريك قد قدمت إلى الشركة على سبيل التملك</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ونفهم جيداً أن في هذه الحالة تطبق أحكام عقد البيع من حيث نقل الملكية وضمان الشيء المبيع. بحيث يقدر الشيء بمبلغ معين وليكن خمسمائة ألف ريال وهنا تصبح حصته في الشركة بنسبة هذا المبلغ من رأس المال الكلي</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أما الجزء الثاني من الفقرة المذكورة يتعلق بتقديم الشريك بحصة في الشركة على سبيل الانتفاع مثل تقديم عقار للشركة على سبيل الإيجار فيقدر مدة الإيجار طوال حياة الشركة وليكن 10 سنوات وبأجرة 100 ألف سنوياً فيصبح للشريك حصة تعادل مليون ريال.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وقد يكون النص عبارة عن مادة مكونة من أكثر من فقرة (1 و 2 و3)</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وهنا يجب الاطلاع على كل فقرة على حدة وربطها بما قبلها وبعدها لوجود علاقة حتمية بين هذه الفقرات ومثال ذلك: المادة الواحدة والثلاثون من نظام المرافعات الشرعية ونصها: " تختص المحاكم العامة بنظر جميع الدعاوى والقضايا والإثباتات </w:t>
      </w:r>
      <w:proofErr w:type="spellStart"/>
      <w:r w:rsidRPr="00864B1E">
        <w:rPr>
          <w:rFonts w:ascii="Traditional Arabic" w:eastAsia="Calibri" w:hAnsi="Traditional Arabic" w:cs="Traditional Arabic"/>
          <w:color w:val="000000"/>
          <w:spacing w:val="8"/>
          <w:sz w:val="36"/>
          <w:szCs w:val="36"/>
          <w:rtl/>
          <w:lang w:bidi="ar-YE"/>
        </w:rPr>
        <w:t>الإنهائية</w:t>
      </w:r>
      <w:proofErr w:type="spellEnd"/>
      <w:r w:rsidRPr="00864B1E">
        <w:rPr>
          <w:rFonts w:ascii="Traditional Arabic" w:eastAsia="Calibri" w:hAnsi="Traditional Arabic" w:cs="Traditional Arabic"/>
          <w:color w:val="000000"/>
          <w:spacing w:val="8"/>
          <w:sz w:val="36"/>
          <w:szCs w:val="36"/>
          <w:rtl/>
          <w:lang w:bidi="ar-YE"/>
        </w:rPr>
        <w:t xml:space="preserve"> وما في حكمها الخارجة عن اختصاص المحاكم الأخرى وكتابات العدل وديوان المظالم، ولها بوجه خاص النظر في الآتي: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 xml:space="preserve">أ - الدعاوى المتعلقة بالعقار، من المنازعة في الملكية، أو حق متصل به، أو دعوى الضرر من العقار نفسه أو من المنتفعين به، أو دعوى </w:t>
      </w:r>
      <w:proofErr w:type="spellStart"/>
      <w:r w:rsidRPr="00864B1E">
        <w:rPr>
          <w:rFonts w:ascii="Traditional Arabic" w:eastAsia="Calibri" w:hAnsi="Traditional Arabic" w:cs="Traditional Arabic"/>
          <w:color w:val="000000"/>
          <w:spacing w:val="8"/>
          <w:sz w:val="36"/>
          <w:szCs w:val="36"/>
          <w:rtl/>
          <w:lang w:bidi="ar-YE"/>
        </w:rPr>
        <w:t>أقيام</w:t>
      </w:r>
      <w:proofErr w:type="spellEnd"/>
      <w:r w:rsidRPr="00864B1E">
        <w:rPr>
          <w:rFonts w:ascii="Traditional Arabic" w:eastAsia="Calibri" w:hAnsi="Traditional Arabic" w:cs="Traditional Arabic"/>
          <w:color w:val="000000"/>
          <w:spacing w:val="8"/>
          <w:sz w:val="36"/>
          <w:szCs w:val="36"/>
          <w:rtl/>
          <w:lang w:bidi="ar-YE"/>
        </w:rPr>
        <w:t xml:space="preserve"> المنافع أو الإخلاء أو دفع الأجرة أو المساهمة فيه، أو دعوى منع التعرض لحيازته أو استرداده، ونحو ذلك، ما لم ينص النظام على خلاف ذلك.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 xml:space="preserve">ب - إصدار صكوك الاستحكام بملكية العقار أو وقفيته.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lastRenderedPageBreak/>
        <w:t xml:space="preserve">ج - الدعاوى الناشئة عن حوادث السير وعن المخالفات المنصوص عليها في نظام المرور... " </w:t>
      </w:r>
      <w:r w:rsidRPr="00864B1E">
        <w:rPr>
          <w:rFonts w:ascii="Traditional Arabic" w:eastAsia="Calibri" w:hAnsi="Traditional Arabic" w:cs="Traditional Arabic"/>
          <w:color w:val="000000"/>
          <w:spacing w:val="8"/>
          <w:sz w:val="36"/>
          <w:szCs w:val="36"/>
          <w:vertAlign w:val="superscript"/>
          <w:rtl/>
          <w:lang w:bidi="ar-YE"/>
        </w:rPr>
        <w:footnoteReference w:id="2"/>
      </w:r>
      <w:r w:rsidRPr="00864B1E">
        <w:rPr>
          <w:rFonts w:ascii="Traditional Arabic" w:eastAsia="Calibri" w:hAnsi="Traditional Arabic" w:cs="Traditional Arabic"/>
          <w:color w:val="000000"/>
          <w:spacing w:val="8"/>
          <w:sz w:val="36"/>
          <w:szCs w:val="36"/>
          <w:rtl/>
          <w:lang w:bidi="ar-YE"/>
        </w:rPr>
        <w:t xml:space="preserve"> </w:t>
      </w:r>
    </w:p>
    <w:p w:rsidR="00FD1478"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hint="cs"/>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وبالاطلاع على النص النظامي السابق يلاحظ لدينا احتواءه على ثلاث فقرات متصلة</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تتناول الاختصاص النوعي للمحكمة العامة</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وقد استعرضت فقرة (أ</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ب</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ج) نوع الدعاوى التي تدخل في الاختصاص النوعي للمحكمة العامة</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كما يكشف النص أن الدعاوى المشار إليها في الفقرات الثلاثة قد جاءت على سبيل المثال بدليل العبارة التي أستهل بها النص (بوجه خاص) فهذه العبارة تكشف بصورة ضمنية عن وجود دعاوى أخرى تدخل في اختصاص المحكمة العامة. </w:t>
      </w:r>
    </w:p>
    <w:p w:rsidR="00864B1E" w:rsidRPr="00FD1478"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b/>
          <w:bCs/>
          <w:color w:val="000000"/>
          <w:spacing w:val="3"/>
          <w:sz w:val="36"/>
          <w:szCs w:val="36"/>
          <w:rtl/>
          <w:lang w:bidi="ar-YE"/>
        </w:rPr>
        <w:t xml:space="preserve"> (3) استخلاص المصطلحات الهامة وترجمتها: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 xml:space="preserve">قد لا يكون النص النظامي من السهولة التي بمجرد قراءته يمكن فهم مضمون المراد منه، فقد يتعثر المتدرب أو المحامي وكافة ذوي التخصص في تفسير بعض المصطلحات، وربطها بباقي عبارات النص، وهنا يلزم إدراك المعنى الصحيح للمصطلح ثم العودة للنص بعد الترجمة؛ وهنا سوف يتضح مضمون النص عن ذي قبل، ومثال ذلك: المادة الثالثة من نظام التحكيم السعودي ونصها " تسري أحكام هذا القانون على كل تحكيم اتفاقي يجري في المملكة ويتعلق بنزاع مدني أو تجاري بين أطراف أشخاص القانون العام أو القانون الخاص أياً كانت طبيعة العلاقة القانونية التي تدور حولها النزاع، عقدية كانت أو غير عقدية " </w:t>
      </w:r>
      <w:r w:rsidRPr="00864B1E">
        <w:rPr>
          <w:rFonts w:ascii="Traditional Arabic" w:eastAsia="Calibri" w:hAnsi="Traditional Arabic" w:cs="Traditional Arabic"/>
          <w:color w:val="000000"/>
          <w:spacing w:val="8"/>
          <w:sz w:val="36"/>
          <w:szCs w:val="36"/>
          <w:vertAlign w:val="superscript"/>
          <w:rtl/>
          <w:lang w:bidi="ar-YE"/>
        </w:rPr>
        <w:footnoteReference w:id="3"/>
      </w:r>
      <w:r w:rsidRPr="00864B1E">
        <w:rPr>
          <w:rFonts w:ascii="Traditional Arabic" w:eastAsia="Calibri" w:hAnsi="Traditional Arabic" w:cs="Traditional Arabic"/>
          <w:color w:val="000000"/>
          <w:spacing w:val="8"/>
          <w:sz w:val="36"/>
          <w:szCs w:val="36"/>
          <w:rtl/>
          <w:lang w:bidi="ar-YE"/>
        </w:rPr>
        <w:t xml:space="preserve">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والمتأمل في النص السابق يتضح له وجود عدد من المصطلحات القانونية تحتاج إيضاح حتى يمكن فهم المراد من النص فهماً صحيحاً</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وهذه المصطلحات هي: (أشخاص القانون </w:t>
      </w:r>
      <w:r w:rsidRPr="00864B1E">
        <w:rPr>
          <w:rFonts w:ascii="Traditional Arabic" w:eastAsia="Calibri" w:hAnsi="Traditional Arabic" w:cs="Traditional Arabic"/>
          <w:color w:val="000000"/>
          <w:spacing w:val="8"/>
          <w:sz w:val="36"/>
          <w:szCs w:val="36"/>
          <w:rtl/>
          <w:lang w:bidi="ar-YE"/>
        </w:rPr>
        <w:lastRenderedPageBreak/>
        <w:t>العام</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اشخاص القانون الخاص</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العلاقة القانونية العقدية</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العلاقة القانونية غير العقدية) ومن ثم فإن إدراك معنى اشخاص القانون العام وهم (الدولة ومؤسساتها كالوزارات والمنشآت المملوكة بالكامل للدولة)</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وإدراك المقصود بأشخاص القانون الخاص وهم (الاشخاص الطبيعية أو الاعتبارية كالشركات التجارية والمؤسسات التجارية). وإدراك المقصود بالعلاقة العقدية هي التي تستند إلى عقد من العقود</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بينما غير العقدية هي التي تجد أساسها في كل فعل رتب أثر دون أن يكون مستمداً من عقد معين مثل الفعل الضار كقيام تاجر بتقليد علامة تجارية لتاجر آخر</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أو قيام تاجر بإتلاف بضاعة لتاجر منافس له ونحو ذلك. فهذا الفهم والإدراك للمصطلحات القانونية السابقة يساعد المتدرب والمحامي على المعرفة السليمة للنص النظامي.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64B1E">
        <w:rPr>
          <w:rFonts w:ascii="Traditional Arabic" w:eastAsia="Calibri" w:hAnsi="Traditional Arabic" w:cs="Traditional Arabic"/>
          <w:b/>
          <w:bCs/>
          <w:color w:val="000000"/>
          <w:spacing w:val="3"/>
          <w:sz w:val="36"/>
          <w:szCs w:val="36"/>
          <w:rtl/>
          <w:lang w:bidi="ar-YE"/>
        </w:rPr>
        <w:t xml:space="preserve">(4) التعمق في مضمون النص النظامي: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يقصد بالتعمق في النص محل القراءة أي التحليل والتفسير والاستنتاج العقلي للهدف من النص ونتائج العمل به</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والافتراضات ذات العلاقة بالنص والأثر المترتب على مخالفة أحكامه</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64B1E">
        <w:rPr>
          <w:rFonts w:ascii="Traditional Arabic" w:eastAsia="Calibri" w:hAnsi="Traditional Arabic" w:cs="Traditional Arabic"/>
          <w:b/>
          <w:bCs/>
          <w:color w:val="000000"/>
          <w:spacing w:val="3"/>
          <w:sz w:val="36"/>
          <w:szCs w:val="36"/>
          <w:rtl/>
          <w:lang w:bidi="ar-YE"/>
        </w:rPr>
        <w:t xml:space="preserve">ثانياً: منهج قراءة العقود بكافة أنواعها: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 xml:space="preserve">إن قراءة العقود وفهم مضمون أحكامها وطبيعة ما تحتويه من بنود أو مواد يقتضي مراعاة الآتي: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1</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معرفه طبيعة العقد نفسة (عقد مدني أم تجاري أم إداري)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2</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معرفه الطبيعة المكانية للعقد (عقد داخلي أم دولي)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3</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معرفه نوع العقد من الناحية الوصفية (عقد مسمى كعقد البيع والايجار والرهن والشركة أم عقد غير مسمى كعقد النزول في فندق)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lastRenderedPageBreak/>
        <w:t>4</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معرفه زمن العقد وبدايته ونهايته وهل هو في الأساس عقد زمني (مثل عقد الإيجار وعقد العمل وعقد التأمين) أم عقد فوري (مثل عقد البيع وعقد الهبة)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5</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معرفة ما إذا كان العقد ملزم للجانبين (عقد البيع والإيجار) أم عقد ملزم لجانب واحد (عقد الهبة)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6</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معرفة الطبيعة الملزمة للعقد (فمثلاً مذكرات التفاهم حتى وإن تم صياغتها في اتفاق مكتوب لا تعتبر ملزمة وإنما هي إطار عام يمهد لعقد سوف يتم تحريره في المستقبل)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7</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ترجمة المصطلحات القانونية التي يشتملها العقد</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8</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الرجوع للأنظمة التي يحيل إليها العقد: مثال ان ينص في العقد على أن تطبق بشأنه أحكام نظام العمل أو نظام الشركات</w:t>
      </w:r>
      <w:r w:rsidR="00864B1E" w:rsidRPr="00864B1E">
        <w:rPr>
          <w:rFonts w:ascii="Traditional Arabic" w:eastAsia="Calibri" w:hAnsi="Traditional Arabic" w:cs="Traditional Arabic"/>
          <w:color w:val="000000"/>
          <w:spacing w:val="8"/>
          <w:sz w:val="36"/>
          <w:szCs w:val="36"/>
          <w:lang w:bidi="ar-YE"/>
        </w:rPr>
        <w:t>,</w:t>
      </w:r>
      <w:r w:rsidR="00864B1E" w:rsidRPr="00864B1E">
        <w:rPr>
          <w:rFonts w:ascii="Traditional Arabic" w:eastAsia="Calibri" w:hAnsi="Traditional Arabic" w:cs="Traditional Arabic"/>
          <w:color w:val="000000"/>
          <w:spacing w:val="8"/>
          <w:sz w:val="36"/>
          <w:szCs w:val="36"/>
          <w:rtl/>
          <w:lang w:bidi="ar-YE"/>
        </w:rPr>
        <w:t xml:space="preserve"> وهذا يقتضي الرجوع لهذه الانظمة وفهم محتواها.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9</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ا</w:t>
      </w:r>
      <w:r w:rsidR="00864B1E" w:rsidRPr="00864B1E">
        <w:rPr>
          <w:rFonts w:ascii="Traditional Arabic" w:eastAsia="Calibri" w:hAnsi="Traditional Arabic" w:cs="Traditional Arabic"/>
          <w:color w:val="000000"/>
          <w:spacing w:val="6"/>
          <w:sz w:val="36"/>
          <w:szCs w:val="36"/>
          <w:rtl/>
          <w:lang w:bidi="ar-YE"/>
        </w:rPr>
        <w:t xml:space="preserve">لتمييز بين مواد العقد الملزمة أو الآمرة وتلك المواد الغير ملزمة أو التي يجوز الاتفاق بين المتعاقدين على مخالفتها: مثل النص في العقد على أن يلتزم الطرف الأول البائع بتسليم العقار محل التعاقد في موعد غايته شهر ميلادي من تاريخ التوقيع على العقد (نص ملزم) أو النص في العقد على أنه قد تم الاتفاق بين المتعاقدين على أن ميعاد تسليم البضاعة 7 أيام من تاريخ التوقيع على العقد ويجوز تعديل المدة بحسب رغبة الطرف الثاني بشرط إخطار الطرف الأول قبل نهاية المدة الأصلية.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64B1E">
        <w:rPr>
          <w:rFonts w:ascii="Traditional Arabic" w:eastAsia="Calibri" w:hAnsi="Traditional Arabic" w:cs="Traditional Arabic"/>
          <w:b/>
          <w:bCs/>
          <w:color w:val="000000"/>
          <w:spacing w:val="3"/>
          <w:sz w:val="36"/>
          <w:szCs w:val="36"/>
          <w:rtl/>
          <w:lang w:bidi="ar-YE"/>
        </w:rPr>
        <w:t xml:space="preserve">ثالثاً: منهج قراءة الأحكام القضائية: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إن قراءة الاحكام القضائية لها خصوصيتها</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وبخاصة إذا كان الغرض من القراءة هو استخدام الحكم كمستند في دعوى أخرى أو الاحتجاج به تجاه خصم في منازعة قائمة أو بغرض الكشف عن أوجه القصور والعيب من أجل تقديم طعن (اعتراض) على هذا الحكم. ومن الأمور الواجب مراعاتها عند قراءة الحكم القضائي ما يلي: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lastRenderedPageBreak/>
        <w:t>1</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معرفة الجهة الصادر عنها الحكم (محكمة عامة</w:t>
      </w:r>
      <w:r w:rsidR="00864B1E" w:rsidRPr="00864B1E">
        <w:rPr>
          <w:rFonts w:ascii="Traditional Arabic" w:eastAsia="Calibri" w:hAnsi="Traditional Arabic" w:cs="Traditional Arabic"/>
          <w:color w:val="000000"/>
          <w:spacing w:val="8"/>
          <w:sz w:val="36"/>
          <w:szCs w:val="36"/>
          <w:lang w:bidi="ar-YE"/>
        </w:rPr>
        <w:t>,</w:t>
      </w:r>
      <w:r w:rsidR="00864B1E" w:rsidRPr="00864B1E">
        <w:rPr>
          <w:rFonts w:ascii="Traditional Arabic" w:eastAsia="Calibri" w:hAnsi="Traditional Arabic" w:cs="Traditional Arabic"/>
          <w:color w:val="000000"/>
          <w:spacing w:val="8"/>
          <w:sz w:val="36"/>
          <w:szCs w:val="36"/>
          <w:rtl/>
          <w:lang w:bidi="ar-YE"/>
        </w:rPr>
        <w:t xml:space="preserve"> ديوان مظالم</w:t>
      </w:r>
      <w:r w:rsidR="00864B1E" w:rsidRPr="00864B1E">
        <w:rPr>
          <w:rFonts w:ascii="Traditional Arabic" w:eastAsia="Calibri" w:hAnsi="Traditional Arabic" w:cs="Traditional Arabic"/>
          <w:color w:val="000000"/>
          <w:spacing w:val="8"/>
          <w:sz w:val="36"/>
          <w:szCs w:val="36"/>
          <w:lang w:bidi="ar-YE"/>
        </w:rPr>
        <w:t>,</w:t>
      </w:r>
      <w:r w:rsidR="00864B1E" w:rsidRPr="00864B1E">
        <w:rPr>
          <w:rFonts w:ascii="Traditional Arabic" w:eastAsia="Calibri" w:hAnsi="Traditional Arabic" w:cs="Traditional Arabic"/>
          <w:color w:val="000000"/>
          <w:spacing w:val="8"/>
          <w:sz w:val="36"/>
          <w:szCs w:val="36"/>
          <w:rtl/>
          <w:lang w:bidi="ar-YE"/>
        </w:rPr>
        <w:t xml:space="preserve"> هيئة تحكيم</w:t>
      </w:r>
      <w:r w:rsidR="00864B1E" w:rsidRPr="00864B1E">
        <w:rPr>
          <w:rFonts w:ascii="Traditional Arabic" w:eastAsia="Calibri" w:hAnsi="Traditional Arabic" w:cs="Traditional Arabic"/>
          <w:color w:val="000000"/>
          <w:spacing w:val="8"/>
          <w:sz w:val="36"/>
          <w:szCs w:val="36"/>
          <w:lang w:bidi="ar-YE"/>
        </w:rPr>
        <w:t>,</w:t>
      </w:r>
      <w:r w:rsidR="00864B1E" w:rsidRPr="00864B1E">
        <w:rPr>
          <w:rFonts w:ascii="Traditional Arabic" w:eastAsia="Calibri" w:hAnsi="Traditional Arabic" w:cs="Traditional Arabic"/>
          <w:color w:val="000000"/>
          <w:spacing w:val="8"/>
          <w:sz w:val="36"/>
          <w:szCs w:val="36"/>
          <w:rtl/>
          <w:lang w:bidi="ar-YE"/>
        </w:rPr>
        <w:t xml:space="preserve"> لجان متخصصة)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2</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 معرفة درجه المحكمة الصادر عنها الحكم (محكمة أول درجة</w:t>
      </w:r>
      <w:r w:rsidR="00864B1E" w:rsidRPr="00864B1E">
        <w:rPr>
          <w:rFonts w:ascii="Traditional Arabic" w:eastAsia="Calibri" w:hAnsi="Traditional Arabic" w:cs="Traditional Arabic"/>
          <w:color w:val="000000"/>
          <w:spacing w:val="8"/>
          <w:sz w:val="36"/>
          <w:szCs w:val="36"/>
          <w:lang w:bidi="ar-YE"/>
        </w:rPr>
        <w:t>,</w:t>
      </w:r>
      <w:r w:rsidR="00864B1E" w:rsidRPr="00864B1E">
        <w:rPr>
          <w:rFonts w:ascii="Traditional Arabic" w:eastAsia="Calibri" w:hAnsi="Traditional Arabic" w:cs="Traditional Arabic"/>
          <w:color w:val="000000"/>
          <w:spacing w:val="8"/>
          <w:sz w:val="36"/>
          <w:szCs w:val="36"/>
          <w:rtl/>
          <w:lang w:bidi="ar-YE"/>
        </w:rPr>
        <w:t xml:space="preserve"> محكمة الاستئناف</w:t>
      </w:r>
      <w:r w:rsidR="00864B1E" w:rsidRPr="00864B1E">
        <w:rPr>
          <w:rFonts w:ascii="Traditional Arabic" w:eastAsia="Calibri" w:hAnsi="Traditional Arabic" w:cs="Traditional Arabic"/>
          <w:color w:val="000000"/>
          <w:spacing w:val="8"/>
          <w:sz w:val="36"/>
          <w:szCs w:val="36"/>
          <w:lang w:bidi="ar-YE"/>
        </w:rPr>
        <w:t>,</w:t>
      </w:r>
      <w:r w:rsidR="00864B1E" w:rsidRPr="00864B1E">
        <w:rPr>
          <w:rFonts w:ascii="Traditional Arabic" w:eastAsia="Calibri" w:hAnsi="Traditional Arabic" w:cs="Traditional Arabic"/>
          <w:color w:val="000000"/>
          <w:spacing w:val="8"/>
          <w:sz w:val="36"/>
          <w:szCs w:val="36"/>
          <w:rtl/>
          <w:lang w:bidi="ar-YE"/>
        </w:rPr>
        <w:t xml:space="preserve"> محكمة النقض)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3</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قراءة الحكم من بدايته بتركيز شديد من حيث تناول الوقائع ثم التكييف القانوني الذي أعطته المحكمة للنزاع</w:t>
      </w:r>
      <w:r w:rsidR="00864B1E" w:rsidRPr="00864B1E">
        <w:rPr>
          <w:rFonts w:ascii="Traditional Arabic" w:eastAsia="Calibri" w:hAnsi="Traditional Arabic" w:cs="Traditional Arabic"/>
          <w:color w:val="000000"/>
          <w:spacing w:val="8"/>
          <w:sz w:val="36"/>
          <w:szCs w:val="36"/>
          <w:lang w:bidi="ar-YE"/>
        </w:rPr>
        <w:t>,</w:t>
      </w:r>
      <w:r w:rsidR="00864B1E" w:rsidRPr="00864B1E">
        <w:rPr>
          <w:rFonts w:ascii="Traditional Arabic" w:eastAsia="Calibri" w:hAnsi="Traditional Arabic" w:cs="Traditional Arabic"/>
          <w:color w:val="000000"/>
          <w:spacing w:val="8"/>
          <w:sz w:val="36"/>
          <w:szCs w:val="36"/>
          <w:rtl/>
          <w:lang w:bidi="ar-YE"/>
        </w:rPr>
        <w:t xml:space="preserve"> ثم قراءة التسبيب ومن ثم المنطوق.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4</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معرفة ما إذا كان الحكم الصادر في الدعوى هو حكم إجرائي (مثل الحكم بعدم الاختصاص النوعي أو المكاني أو عدم القبول) أم موضوعي (مثل الحكم برد الدعوى أو بإلزام المدعى عليه بدفع مبلغ من المال أو بعمل معين أو الامتناع عن عمل)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5</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معرفة ما إذا كان الحكم قابل للطعن عليه أم من الأحكام النهائية كالأحكام الصادرة من المحاكم الجزئية في المطالبات المالية التي لا تتجاوز عشرين ألف ريال.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6</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مطابقة ما انتهى إليه الحكم أو قرار المحكمة مع المستقر عليه في العمل القضائي</w:t>
      </w:r>
      <w:r w:rsidR="00864B1E" w:rsidRPr="00864B1E">
        <w:rPr>
          <w:rFonts w:ascii="Traditional Arabic" w:eastAsia="Calibri" w:hAnsi="Traditional Arabic" w:cs="Traditional Arabic"/>
          <w:color w:val="000000"/>
          <w:spacing w:val="8"/>
          <w:sz w:val="36"/>
          <w:szCs w:val="36"/>
          <w:lang w:bidi="ar-YE"/>
        </w:rPr>
        <w:t>,</w:t>
      </w:r>
      <w:r w:rsidR="00864B1E" w:rsidRPr="00864B1E">
        <w:rPr>
          <w:rFonts w:ascii="Traditional Arabic" w:eastAsia="Calibri" w:hAnsi="Traditional Arabic" w:cs="Traditional Arabic"/>
          <w:color w:val="000000"/>
          <w:spacing w:val="8"/>
          <w:sz w:val="36"/>
          <w:szCs w:val="36"/>
          <w:rtl/>
          <w:lang w:bidi="ar-YE"/>
        </w:rPr>
        <w:t xml:space="preserve"> وما هو منصوص عليه نظاماً</w:t>
      </w:r>
      <w:r w:rsidR="00864B1E" w:rsidRPr="00864B1E">
        <w:rPr>
          <w:rFonts w:ascii="Traditional Arabic" w:eastAsia="Calibri" w:hAnsi="Traditional Arabic" w:cs="Traditional Arabic"/>
          <w:color w:val="000000"/>
          <w:spacing w:val="8"/>
          <w:sz w:val="36"/>
          <w:szCs w:val="36"/>
          <w:lang w:bidi="ar-YE"/>
        </w:rPr>
        <w:t>,</w:t>
      </w:r>
      <w:r w:rsidR="00864B1E" w:rsidRPr="00864B1E">
        <w:rPr>
          <w:rFonts w:ascii="Traditional Arabic" w:eastAsia="Calibri" w:hAnsi="Traditional Arabic" w:cs="Traditional Arabic"/>
          <w:color w:val="000000"/>
          <w:spacing w:val="8"/>
          <w:sz w:val="36"/>
          <w:szCs w:val="36"/>
          <w:rtl/>
          <w:lang w:bidi="ar-YE"/>
        </w:rPr>
        <w:t xml:space="preserve"> وتدوين الملاحظات المستخلصة من القراءة.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b/>
          <w:bCs/>
          <w:color w:val="000000"/>
          <w:spacing w:val="8"/>
          <w:sz w:val="36"/>
          <w:szCs w:val="36"/>
          <w:rtl/>
          <w:lang w:bidi="ar-YE"/>
        </w:rPr>
        <w:t>ويستخلص من العرض السابق</w:t>
      </w:r>
      <w:r w:rsidRPr="00864B1E">
        <w:rPr>
          <w:rFonts w:ascii="Traditional Arabic" w:eastAsia="Calibri" w:hAnsi="Traditional Arabic" w:cs="Traditional Arabic"/>
          <w:color w:val="000000"/>
          <w:spacing w:val="8"/>
          <w:sz w:val="36"/>
          <w:szCs w:val="36"/>
          <w:rtl/>
          <w:lang w:bidi="ar-YE"/>
        </w:rPr>
        <w:t xml:space="preserve"> أن قراءة الوثائق القانونية لها منهج معين يلزم السير عليه واتباع خطواته حتى يمكن استخلاص النتائج المرجوة</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فالأمر ليس مجرد اجتهاد</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لأن عمل المحامي ذو طبيعة فنية متخصصة ترتبط بقواعد وأسس لا غنى عنها في العمل القانوني المنوط القيام به. </w:t>
      </w:r>
    </w:p>
    <w:p w:rsidR="00864B1E" w:rsidRPr="00864B1E" w:rsidRDefault="00864B1E" w:rsidP="00864B1E">
      <w:pPr>
        <w:autoSpaceDE w:val="0"/>
        <w:autoSpaceDN w:val="0"/>
        <w:bidi/>
        <w:adjustRightInd w:val="0"/>
        <w:spacing w:before="142" w:after="0" w:line="240" w:lineRule="auto"/>
        <w:jc w:val="center"/>
        <w:textAlignment w:val="center"/>
        <w:rPr>
          <w:rFonts w:ascii="Traditional Arabic" w:eastAsia="Calibri" w:hAnsi="Traditional Arabic" w:cs="Traditional Arabic"/>
          <w:b/>
          <w:bCs/>
          <w:color w:val="000000"/>
          <w:sz w:val="36"/>
          <w:szCs w:val="36"/>
          <w:rtl/>
          <w:lang w:bidi="ar-YE"/>
        </w:rPr>
      </w:pPr>
      <w:r w:rsidRPr="00864B1E">
        <w:rPr>
          <w:rFonts w:ascii="Traditional Arabic" w:eastAsia="Calibri" w:hAnsi="Traditional Arabic" w:cs="Traditional Arabic"/>
          <w:b/>
          <w:bCs/>
          <w:color w:val="000000"/>
          <w:sz w:val="36"/>
          <w:szCs w:val="36"/>
          <w:rtl/>
          <w:lang w:bidi="ar-YE"/>
        </w:rPr>
        <w:t>المطلب الثاني</w:t>
      </w:r>
    </w:p>
    <w:p w:rsidR="00864B1E" w:rsidRPr="00864B1E" w:rsidRDefault="00864B1E" w:rsidP="00864B1E">
      <w:pPr>
        <w:autoSpaceDE w:val="0"/>
        <w:autoSpaceDN w:val="0"/>
        <w:bidi/>
        <w:adjustRightInd w:val="0"/>
        <w:spacing w:before="142" w:after="0" w:line="240" w:lineRule="auto"/>
        <w:jc w:val="center"/>
        <w:textAlignment w:val="center"/>
        <w:rPr>
          <w:rFonts w:ascii="Traditional Arabic" w:eastAsia="Calibri" w:hAnsi="Traditional Arabic" w:cs="Traditional Arabic"/>
          <w:b/>
          <w:bCs/>
          <w:color w:val="000000"/>
          <w:sz w:val="36"/>
          <w:szCs w:val="36"/>
          <w:rtl/>
          <w:lang w:bidi="ar-YE"/>
        </w:rPr>
      </w:pPr>
      <w:r w:rsidRPr="00864B1E">
        <w:rPr>
          <w:rFonts w:ascii="Traditional Arabic" w:eastAsia="Calibri" w:hAnsi="Traditional Arabic" w:cs="Traditional Arabic"/>
          <w:b/>
          <w:bCs/>
          <w:color w:val="000000"/>
          <w:sz w:val="36"/>
          <w:szCs w:val="36"/>
          <w:rtl/>
          <w:lang w:bidi="ar-YE"/>
        </w:rPr>
        <w:t>استخدام المصطلحات الفنية المتخصصة</w:t>
      </w:r>
    </w:p>
    <w:p w:rsidR="00864B1E" w:rsidRPr="00864B1E" w:rsidRDefault="00864B1E" w:rsidP="00864B1E">
      <w:pPr>
        <w:autoSpaceDE w:val="0"/>
        <w:autoSpaceDN w:val="0"/>
        <w:bidi/>
        <w:adjustRightInd w:val="0"/>
        <w:spacing w:before="142" w:after="0" w:line="440" w:lineRule="atLeast"/>
        <w:ind w:firstLine="567"/>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يحتاج محامي المستقبل أن تكون لدية ذخيرة كبيرة ومخزون ضخم من المصطلحات القانونية المتخصصة</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أو بمعنى آخر الجمل القانونية والتي مع الممارسة يستطيع اختيار </w:t>
      </w:r>
      <w:r w:rsidRPr="00864B1E">
        <w:rPr>
          <w:rFonts w:ascii="Traditional Arabic" w:eastAsia="Calibri" w:hAnsi="Traditional Arabic" w:cs="Traditional Arabic"/>
          <w:color w:val="000000"/>
          <w:spacing w:val="8"/>
          <w:sz w:val="36"/>
          <w:szCs w:val="36"/>
          <w:rtl/>
          <w:lang w:bidi="ar-YE"/>
        </w:rPr>
        <w:lastRenderedPageBreak/>
        <w:t>المناسب منها وتوظيفه في الوثيقة القانونية المراد منه إعدادها</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ويثور التساؤل حول ماهية هذه المصطلحات ومصادرها وكيفية استخدامها ؟ وسوف تكون الاجابة على هذا التساؤل من خلال استعراض كل جزئية وبيان </w:t>
      </w:r>
      <w:proofErr w:type="spellStart"/>
      <w:r w:rsidRPr="00864B1E">
        <w:rPr>
          <w:rFonts w:ascii="Traditional Arabic" w:eastAsia="Calibri" w:hAnsi="Traditional Arabic" w:cs="Traditional Arabic"/>
          <w:color w:val="000000"/>
          <w:spacing w:val="8"/>
          <w:sz w:val="36"/>
          <w:szCs w:val="36"/>
          <w:rtl/>
          <w:lang w:bidi="ar-YE"/>
        </w:rPr>
        <w:t>مقصودها</w:t>
      </w:r>
      <w:proofErr w:type="spellEnd"/>
      <w:r w:rsidRPr="00864B1E">
        <w:rPr>
          <w:rFonts w:ascii="Traditional Arabic" w:eastAsia="Calibri" w:hAnsi="Traditional Arabic" w:cs="Traditional Arabic"/>
          <w:color w:val="000000"/>
          <w:spacing w:val="8"/>
          <w:sz w:val="36"/>
          <w:szCs w:val="36"/>
          <w:rtl/>
          <w:lang w:bidi="ar-YE"/>
        </w:rPr>
        <w:t>.</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64B1E">
        <w:rPr>
          <w:rFonts w:ascii="Traditional Arabic" w:eastAsia="Calibri" w:hAnsi="Traditional Arabic" w:cs="Traditional Arabic"/>
          <w:b/>
          <w:bCs/>
          <w:color w:val="000000"/>
          <w:spacing w:val="3"/>
          <w:sz w:val="36"/>
          <w:szCs w:val="36"/>
          <w:rtl/>
          <w:lang w:bidi="ar-YE"/>
        </w:rPr>
        <w:t xml:space="preserve">أولاً: ماهية المصطلحات الفنية المتخصصة: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هي أهم أدوات المحامي والمحامية والمتخصصين في العمل القانوني بوجه عام</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فاللغة القانونية لغة متميزة عن غيرها وكل عبارة أو جملة قانونية لها مدلولها وأثرها البالغ وخطورتها أيضاً</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ويمكن تعريف المصطلحات الفنية المتخصصة في مجال العمل القانوني بأنها: مجموعة الجمل والعبارات القانونية التي يستخدمها الممارس لمهنة المحاماة أو العمل القانوني والتي تتميز بدقة اللغة ووضوح المعاني والالفاظ الدالة على المراد وتستمد من المخزون الكامن لديه من النصوص النظامية والأحكام القضائية وأحكام الفقه الاسلامي.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b/>
          <w:bCs/>
          <w:color w:val="000000"/>
          <w:spacing w:val="3"/>
          <w:sz w:val="36"/>
          <w:szCs w:val="36"/>
          <w:rtl/>
          <w:lang w:bidi="ar-YE"/>
        </w:rPr>
        <w:t>ومن الجدير بالذكر:</w:t>
      </w:r>
      <w:r w:rsidRPr="00864B1E">
        <w:rPr>
          <w:rFonts w:ascii="Traditional Arabic" w:eastAsia="Calibri" w:hAnsi="Traditional Arabic" w:cs="Traditional Arabic"/>
          <w:color w:val="000000"/>
          <w:spacing w:val="8"/>
          <w:sz w:val="36"/>
          <w:szCs w:val="36"/>
          <w:rtl/>
          <w:lang w:bidi="ar-YE"/>
        </w:rPr>
        <w:t xml:space="preserve"> أن افتقاد المحامي أو المحامية لهذا المخزون يجعل ممارسته للمهنة مسألة في غاية الصعوبة؛ الأمر الذي يبعث الشعور بالفشل وعدم القدرة على الاستمرار</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لذلك يجب أن يكون لدى أبنائنا المتدربين وطلبة وطالبات كليات الشريعة والقانون وكليات الحقوق رغبة شديدة في خوض هذا التحدي. من أجل الوصول إلى درجة معقولة من القدرة على ممارسة المهنة في المستقبل.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64B1E">
        <w:rPr>
          <w:rFonts w:ascii="Traditional Arabic" w:eastAsia="Calibri" w:hAnsi="Traditional Arabic" w:cs="Traditional Arabic"/>
          <w:b/>
          <w:bCs/>
          <w:color w:val="000000"/>
          <w:spacing w:val="3"/>
          <w:sz w:val="36"/>
          <w:szCs w:val="36"/>
          <w:rtl/>
          <w:lang w:bidi="ar-YE"/>
        </w:rPr>
        <w:t xml:space="preserve">ثانياً: المصادر المختلفة للمصطلحات القانونية المتخصصة: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الثقافة القانونية لا تعتمد على مصدر واحد</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وإنما على عدة مصادر مختلفة</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من أهمها: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1</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القراءة المستمرة للأنظمة واللوائح والتعاميم والقرارات الإدارية. </w:t>
      </w:r>
    </w:p>
    <w:p w:rsid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hint="cs"/>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2</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القراءة المستمرة للسوابق القضائية الصادرة عن مختلف المحاكم بكافة درجاتها. </w:t>
      </w:r>
    </w:p>
    <w:p w:rsidR="00FD1478"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 xml:space="preserve">3 </w:t>
      </w:r>
      <w:r>
        <w:rPr>
          <w:rFonts w:ascii="Traditional Arabic" w:eastAsia="Calibri" w:hAnsi="Traditional Arabic" w:cs="Traditional Arabic" w:hint="cs"/>
          <w:color w:val="000000"/>
          <w:spacing w:val="8"/>
          <w:sz w:val="36"/>
          <w:szCs w:val="36"/>
          <w:rtl/>
          <w:lang w:bidi="ar-YE"/>
        </w:rPr>
        <w:t>-</w:t>
      </w:r>
      <w:r w:rsidRPr="00864B1E">
        <w:rPr>
          <w:rFonts w:ascii="Traditional Arabic" w:eastAsia="Calibri" w:hAnsi="Traditional Arabic" w:cs="Traditional Arabic"/>
          <w:color w:val="000000"/>
          <w:spacing w:val="8"/>
          <w:sz w:val="36"/>
          <w:szCs w:val="36"/>
          <w:rtl/>
          <w:lang w:bidi="ar-YE"/>
        </w:rPr>
        <w:t xml:space="preserve">القراءة المتعمقة والمتأنية لكتب شراح الأنظمة وفقهاء القانون. </w:t>
      </w:r>
    </w:p>
    <w:p w:rsidR="00FD1478"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lastRenderedPageBreak/>
        <w:t>4</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الاطلاع على أحكام الفقه الاسلامي والأحاديث النبوية الشريفة.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5</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 الاطلاع على نماذج العقود المختلفة وبيان تسلسلها وديباجتها وأهم بنودها. </w:t>
      </w:r>
    </w:p>
    <w:p w:rsidR="00864B1E" w:rsidRPr="00864B1E" w:rsidRDefault="00FD1478"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Pr>
          <w:rFonts w:ascii="Traditional Arabic" w:eastAsia="Calibri" w:hAnsi="Traditional Arabic" w:cs="Traditional Arabic" w:hint="cs"/>
          <w:color w:val="000000"/>
          <w:spacing w:val="8"/>
          <w:sz w:val="36"/>
          <w:szCs w:val="36"/>
          <w:rtl/>
          <w:lang w:bidi="ar-YE"/>
        </w:rPr>
        <w:t>6</w:t>
      </w:r>
      <w:r w:rsidR="00864B1E">
        <w:rPr>
          <w:rFonts w:ascii="Traditional Arabic" w:eastAsia="Calibri" w:hAnsi="Traditional Arabic" w:cs="Traditional Arabic" w:hint="cs"/>
          <w:color w:val="000000"/>
          <w:spacing w:val="8"/>
          <w:sz w:val="36"/>
          <w:szCs w:val="36"/>
          <w:rtl/>
          <w:lang w:bidi="ar-YE"/>
        </w:rPr>
        <w:t>-</w:t>
      </w:r>
      <w:r w:rsidR="00864B1E" w:rsidRPr="00864B1E">
        <w:rPr>
          <w:rFonts w:ascii="Traditional Arabic" w:eastAsia="Calibri" w:hAnsi="Traditional Arabic" w:cs="Traditional Arabic"/>
          <w:color w:val="000000"/>
          <w:spacing w:val="8"/>
          <w:sz w:val="36"/>
          <w:szCs w:val="36"/>
          <w:rtl/>
          <w:lang w:bidi="ar-YE"/>
        </w:rPr>
        <w:t xml:space="preserve">الاطلاع على نماذج مختلفة ومتنوعة من مذكرات الدفاع ولوائح الدعاوى والطعون على الأحكام.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b/>
          <w:bCs/>
          <w:color w:val="000000"/>
          <w:spacing w:val="3"/>
          <w:sz w:val="36"/>
          <w:szCs w:val="36"/>
          <w:rtl/>
          <w:lang w:bidi="ar-YE"/>
        </w:rPr>
      </w:pPr>
      <w:r w:rsidRPr="00864B1E">
        <w:rPr>
          <w:rFonts w:ascii="Traditional Arabic" w:eastAsia="Calibri" w:hAnsi="Traditional Arabic" w:cs="Traditional Arabic"/>
          <w:b/>
          <w:bCs/>
          <w:color w:val="000000"/>
          <w:spacing w:val="3"/>
          <w:sz w:val="36"/>
          <w:szCs w:val="36"/>
          <w:rtl/>
          <w:lang w:bidi="ar-YE"/>
        </w:rPr>
        <w:t xml:space="preserve">ثالثاً: كيفية استخدام المصطلحات الفنية المتخصصة: </w:t>
      </w:r>
    </w:p>
    <w:p w:rsidR="00864B1E" w:rsidRPr="00864B1E" w:rsidRDefault="00864B1E" w:rsidP="00FD1478">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استخدام الجمل القانونية يعتمد في الأساس على الموهبة الفطرية التي يتمتع بها الممارس للعمل القانوني</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إلا أن ذلك لا يحول دون إمكانية اكتساب هذه المهارة من خلال الممارسة العملية بمرحلة التدريب</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فيجب على محامي المستقبل أن يسأل نفسة بشكل مستمر عن عدد الأنظمة التي قام بالاطلاع عليها</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وكم مذكرة دفاع ولائحة دعوى وصحيفة طعن قام بقراءتها، وكم نموذج لعقود تناولها بالفحص والتدقيق</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و بقدر هذا المخزون سيكون لدية القدرة على استخدام وتوظيف المصطلح في مكانه المناسب. </w:t>
      </w:r>
    </w:p>
    <w:p w:rsidR="00864B1E" w:rsidRPr="00864B1E" w:rsidRDefault="00864B1E" w:rsidP="00864B1E">
      <w:pPr>
        <w:autoSpaceDE w:val="0"/>
        <w:autoSpaceDN w:val="0"/>
        <w:bidi/>
        <w:adjustRightInd w:val="0"/>
        <w:spacing w:before="142" w:after="0" w:line="440" w:lineRule="atLeast"/>
        <w:jc w:val="both"/>
        <w:textAlignment w:val="center"/>
        <w:rPr>
          <w:rFonts w:ascii="Traditional Arabic" w:eastAsia="Calibri" w:hAnsi="Traditional Arabic" w:cs="Traditional Arabic"/>
          <w:color w:val="000000"/>
          <w:spacing w:val="8"/>
          <w:sz w:val="36"/>
          <w:szCs w:val="36"/>
          <w:rtl/>
          <w:lang w:bidi="ar-YE"/>
        </w:rPr>
      </w:pPr>
      <w:r w:rsidRPr="00864B1E">
        <w:rPr>
          <w:rFonts w:ascii="Traditional Arabic" w:eastAsia="Calibri" w:hAnsi="Traditional Arabic" w:cs="Traditional Arabic"/>
          <w:color w:val="000000"/>
          <w:spacing w:val="8"/>
          <w:sz w:val="36"/>
          <w:szCs w:val="36"/>
          <w:rtl/>
          <w:lang w:bidi="ar-YE"/>
        </w:rPr>
        <w:t>ويجب أن نوجه العناية إلى مسألة غاية في الخطورة تتمثل في الفهم الخاطئ للمصطلح القانوني والذي ينعكس سلباً على استخدامه</w:t>
      </w:r>
      <w:r w:rsidRPr="00864B1E">
        <w:rPr>
          <w:rFonts w:ascii="Traditional Arabic" w:eastAsia="Calibri" w:hAnsi="Traditional Arabic" w:cs="Traditional Arabic"/>
          <w:color w:val="000000"/>
          <w:spacing w:val="8"/>
          <w:sz w:val="36"/>
          <w:szCs w:val="36"/>
          <w:lang w:bidi="ar-YE"/>
        </w:rPr>
        <w:t>,</w:t>
      </w:r>
      <w:r w:rsidRPr="00864B1E">
        <w:rPr>
          <w:rFonts w:ascii="Traditional Arabic" w:eastAsia="Calibri" w:hAnsi="Traditional Arabic" w:cs="Traditional Arabic"/>
          <w:color w:val="000000"/>
          <w:spacing w:val="8"/>
          <w:sz w:val="36"/>
          <w:szCs w:val="36"/>
          <w:rtl/>
          <w:lang w:bidi="ar-YE"/>
        </w:rPr>
        <w:t xml:space="preserve"> لذلك يجب التشاور والسؤال والمناقشة حول المصطلح الغريب أو غير المفهوم من أكثر من متخصص حتى يتم التأكد من صحته، ومن ثم سلامة استخدامه. </w:t>
      </w:r>
    </w:p>
    <w:p w:rsidR="00864B1E" w:rsidRPr="00864B1E" w:rsidRDefault="00864B1E" w:rsidP="00864B1E">
      <w:pPr>
        <w:autoSpaceDE w:val="0"/>
        <w:autoSpaceDN w:val="0"/>
        <w:bidi/>
        <w:adjustRightInd w:val="0"/>
        <w:spacing w:before="142" w:after="0" w:line="440" w:lineRule="atLeast"/>
        <w:ind w:firstLine="567"/>
        <w:jc w:val="right"/>
        <w:textAlignment w:val="center"/>
        <w:rPr>
          <w:rFonts w:ascii="Simplified Arabic" w:eastAsia="Calibri" w:hAnsi="Simplified Arabic" w:cs="Simplified Arabic"/>
          <w:color w:val="000000"/>
          <w:spacing w:val="8"/>
          <w:sz w:val="28"/>
          <w:szCs w:val="28"/>
          <w:rtl/>
          <w:lang w:bidi="ar-YE"/>
        </w:rPr>
      </w:pPr>
      <w:r w:rsidRPr="00864B1E">
        <w:rPr>
          <w:rFonts w:ascii="Simplified Arabic" w:eastAsia="Calibri" w:hAnsi="Simplified Arabic" w:cs="Simplified Arabic"/>
          <w:color w:val="000000"/>
          <w:spacing w:val="8"/>
          <w:sz w:val="28"/>
          <w:szCs w:val="28"/>
          <w:rtl/>
          <w:lang w:bidi="ar-YE"/>
        </w:rPr>
        <w:t xml:space="preserve"> </w:t>
      </w:r>
      <w:r>
        <w:rPr>
          <w:rFonts w:ascii="Simplified Arabic" w:eastAsia="Calibri" w:hAnsi="Simplified Arabic" w:cs="Simplified Arabic" w:hint="cs"/>
          <w:color w:val="000000"/>
          <w:spacing w:val="8"/>
          <w:sz w:val="28"/>
          <w:szCs w:val="28"/>
          <w:rtl/>
          <w:lang w:bidi="ar-YE"/>
        </w:rPr>
        <w:t>تم بحمد الله وتوفيقه</w:t>
      </w:r>
    </w:p>
    <w:p w:rsidR="00FE243D" w:rsidRDefault="00FE243D">
      <w:pPr>
        <w:rPr>
          <w:lang w:bidi="ar-YE"/>
        </w:rPr>
      </w:pPr>
    </w:p>
    <w:sectPr w:rsidR="00FE243D">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44B" w:rsidRDefault="002D744B" w:rsidP="00864B1E">
      <w:pPr>
        <w:spacing w:after="0" w:line="240" w:lineRule="auto"/>
      </w:pPr>
      <w:r>
        <w:separator/>
      </w:r>
    </w:p>
  </w:endnote>
  <w:endnote w:type="continuationSeparator" w:id="0">
    <w:p w:rsidR="002D744B" w:rsidRDefault="002D744B" w:rsidP="00864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XtManal">
    <w:altName w:val="Symbol"/>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1387789"/>
      <w:docPartObj>
        <w:docPartGallery w:val="Page Numbers (Bottom of Page)"/>
        <w:docPartUnique/>
      </w:docPartObj>
    </w:sdtPr>
    <w:sdtContent>
      <w:p w:rsidR="00FD1478" w:rsidRDefault="00FD1478">
        <w:pPr>
          <w:pStyle w:val="a4"/>
          <w:jc w:val="center"/>
        </w:pPr>
        <w:r>
          <w:fldChar w:fldCharType="begin"/>
        </w:r>
        <w:r>
          <w:instrText>PAGE   \* MERGEFORMAT</w:instrText>
        </w:r>
        <w:r>
          <w:fldChar w:fldCharType="separate"/>
        </w:r>
        <w:r w:rsidRPr="00FD1478">
          <w:rPr>
            <w:noProof/>
            <w:lang w:val="ar-SA"/>
          </w:rPr>
          <w:t>1</w:t>
        </w:r>
        <w:r>
          <w:fldChar w:fldCharType="end"/>
        </w:r>
      </w:p>
    </w:sdtContent>
  </w:sdt>
  <w:p w:rsidR="00FD1478" w:rsidRDefault="00FD147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44B" w:rsidRDefault="002D744B" w:rsidP="00864B1E">
      <w:pPr>
        <w:spacing w:after="0" w:line="240" w:lineRule="auto"/>
      </w:pPr>
      <w:r>
        <w:separator/>
      </w:r>
    </w:p>
  </w:footnote>
  <w:footnote w:type="continuationSeparator" w:id="0">
    <w:p w:rsidR="002D744B" w:rsidRDefault="002D744B" w:rsidP="00864B1E">
      <w:pPr>
        <w:spacing w:after="0" w:line="240" w:lineRule="auto"/>
      </w:pPr>
      <w:r>
        <w:continuationSeparator/>
      </w:r>
    </w:p>
  </w:footnote>
  <w:footnote w:id="1">
    <w:p w:rsidR="00864B1E" w:rsidRDefault="00864B1E" w:rsidP="00864B1E">
      <w:pPr>
        <w:pStyle w:val="footnoteplain12"/>
        <w:rPr>
          <w:rtl/>
        </w:rPr>
      </w:pPr>
      <w:r>
        <w:rPr>
          <w:vertAlign w:val="superscript"/>
          <w:rtl/>
        </w:rPr>
        <w:footnoteRef/>
      </w:r>
      <w:r>
        <w:rPr>
          <w:rFonts w:cs="Times New Roman"/>
          <w:rtl/>
        </w:rPr>
        <w:tab/>
        <w:t>انظر: المادة (6 / أ) من نظام الشركات السعودي الجديد لعام 1437هـ</w:t>
      </w:r>
    </w:p>
    <w:p w:rsidR="00864B1E" w:rsidRDefault="00864B1E" w:rsidP="00864B1E">
      <w:pPr>
        <w:pStyle w:val="footnoteplain12"/>
        <w:rPr>
          <w:rtl/>
        </w:rPr>
      </w:pPr>
    </w:p>
  </w:footnote>
  <w:footnote w:id="2">
    <w:p w:rsidR="00864B1E" w:rsidRDefault="00864B1E" w:rsidP="00864B1E">
      <w:pPr>
        <w:pStyle w:val="footnoteplain12"/>
        <w:rPr>
          <w:rtl/>
        </w:rPr>
      </w:pPr>
      <w:r>
        <w:rPr>
          <w:vertAlign w:val="superscript"/>
          <w:rtl/>
        </w:rPr>
        <w:footnoteRef/>
      </w:r>
      <w:r>
        <w:rPr>
          <w:rFonts w:cs="Times New Roman"/>
          <w:rtl/>
        </w:rPr>
        <w:tab/>
        <w:t>انظر: المادة (31) من نظام المرافعات الشرعية لعام 1435هـ</w:t>
      </w:r>
    </w:p>
    <w:p w:rsidR="00864B1E" w:rsidRDefault="00864B1E" w:rsidP="00864B1E">
      <w:pPr>
        <w:pStyle w:val="footnoteplain12"/>
        <w:rPr>
          <w:rtl/>
        </w:rPr>
      </w:pPr>
    </w:p>
  </w:footnote>
  <w:footnote w:id="3">
    <w:p w:rsidR="00864B1E" w:rsidRDefault="00864B1E" w:rsidP="00864B1E">
      <w:pPr>
        <w:pStyle w:val="footnoteplain12"/>
        <w:rPr>
          <w:spacing w:val="-2"/>
          <w:rtl/>
        </w:rPr>
      </w:pPr>
      <w:r>
        <w:rPr>
          <w:vertAlign w:val="superscript"/>
          <w:rtl/>
        </w:rPr>
        <w:footnoteRef/>
      </w:r>
      <w:r>
        <w:rPr>
          <w:rFonts w:cs="Times New Roman"/>
          <w:rtl/>
        </w:rPr>
        <w:tab/>
      </w:r>
      <w:r>
        <w:rPr>
          <w:rFonts w:cs="Times New Roman"/>
          <w:spacing w:val="-2"/>
          <w:rtl/>
        </w:rPr>
        <w:t>انظر: المادة الثالثة من نظام التحكيم السعودي الصادر بالمرسوم الملكي (م / 34) وتاريخ 24 / 5 / 1433هـ</w:t>
      </w:r>
    </w:p>
    <w:p w:rsidR="00864B1E" w:rsidRDefault="00864B1E" w:rsidP="00864B1E">
      <w:pPr>
        <w:pStyle w:val="footnoteplain12"/>
        <w:rPr>
          <w:rt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B1E"/>
    <w:rsid w:val="002D744B"/>
    <w:rsid w:val="00614160"/>
    <w:rsid w:val="00864B1E"/>
    <w:rsid w:val="00FD1478"/>
    <w:rsid w:val="00FE24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plain12">
    <w:name w:val="footnote plain 12"/>
    <w:basedOn w:val="a"/>
    <w:uiPriority w:val="99"/>
    <w:rsid w:val="00864B1E"/>
    <w:pPr>
      <w:autoSpaceDE w:val="0"/>
      <w:autoSpaceDN w:val="0"/>
      <w:bidi/>
      <w:adjustRightInd w:val="0"/>
      <w:spacing w:after="0" w:line="320" w:lineRule="atLeast"/>
      <w:ind w:left="567" w:hanging="567"/>
      <w:jc w:val="both"/>
      <w:textAlignment w:val="center"/>
    </w:pPr>
    <w:rPr>
      <w:rFonts w:ascii="AXtManal" w:hAnsi="AXtManal" w:cs="AXtManal"/>
      <w:color w:val="000000"/>
      <w:sz w:val="24"/>
      <w:szCs w:val="24"/>
      <w:lang w:bidi="ar-YE"/>
    </w:rPr>
  </w:style>
  <w:style w:type="paragraph" w:styleId="a3">
    <w:name w:val="header"/>
    <w:basedOn w:val="a"/>
    <w:link w:val="Char"/>
    <w:uiPriority w:val="99"/>
    <w:unhideWhenUsed/>
    <w:rsid w:val="00FD1478"/>
    <w:pPr>
      <w:tabs>
        <w:tab w:val="center" w:pos="4320"/>
        <w:tab w:val="right" w:pos="8640"/>
      </w:tabs>
      <w:spacing w:after="0" w:line="240" w:lineRule="auto"/>
    </w:pPr>
  </w:style>
  <w:style w:type="character" w:customStyle="1" w:styleId="Char">
    <w:name w:val="رأس الصفحة Char"/>
    <w:basedOn w:val="a0"/>
    <w:link w:val="a3"/>
    <w:uiPriority w:val="99"/>
    <w:rsid w:val="00FD1478"/>
  </w:style>
  <w:style w:type="paragraph" w:styleId="a4">
    <w:name w:val="footer"/>
    <w:basedOn w:val="a"/>
    <w:link w:val="Char0"/>
    <w:uiPriority w:val="99"/>
    <w:unhideWhenUsed/>
    <w:rsid w:val="00FD1478"/>
    <w:pPr>
      <w:tabs>
        <w:tab w:val="center" w:pos="4320"/>
        <w:tab w:val="right" w:pos="8640"/>
      </w:tabs>
      <w:spacing w:after="0" w:line="240" w:lineRule="auto"/>
    </w:pPr>
  </w:style>
  <w:style w:type="character" w:customStyle="1" w:styleId="Char0">
    <w:name w:val="تذييل الصفحة Char"/>
    <w:basedOn w:val="a0"/>
    <w:link w:val="a4"/>
    <w:uiPriority w:val="99"/>
    <w:rsid w:val="00FD1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plain12">
    <w:name w:val="footnote plain 12"/>
    <w:basedOn w:val="a"/>
    <w:uiPriority w:val="99"/>
    <w:rsid w:val="00864B1E"/>
    <w:pPr>
      <w:autoSpaceDE w:val="0"/>
      <w:autoSpaceDN w:val="0"/>
      <w:bidi/>
      <w:adjustRightInd w:val="0"/>
      <w:spacing w:after="0" w:line="320" w:lineRule="atLeast"/>
      <w:ind w:left="567" w:hanging="567"/>
      <w:jc w:val="both"/>
      <w:textAlignment w:val="center"/>
    </w:pPr>
    <w:rPr>
      <w:rFonts w:ascii="AXtManal" w:hAnsi="AXtManal" w:cs="AXtManal"/>
      <w:color w:val="000000"/>
      <w:sz w:val="24"/>
      <w:szCs w:val="24"/>
      <w:lang w:bidi="ar-YE"/>
    </w:rPr>
  </w:style>
  <w:style w:type="paragraph" w:styleId="a3">
    <w:name w:val="header"/>
    <w:basedOn w:val="a"/>
    <w:link w:val="Char"/>
    <w:uiPriority w:val="99"/>
    <w:unhideWhenUsed/>
    <w:rsid w:val="00FD1478"/>
    <w:pPr>
      <w:tabs>
        <w:tab w:val="center" w:pos="4320"/>
        <w:tab w:val="right" w:pos="8640"/>
      </w:tabs>
      <w:spacing w:after="0" w:line="240" w:lineRule="auto"/>
    </w:pPr>
  </w:style>
  <w:style w:type="character" w:customStyle="1" w:styleId="Char">
    <w:name w:val="رأس الصفحة Char"/>
    <w:basedOn w:val="a0"/>
    <w:link w:val="a3"/>
    <w:uiPriority w:val="99"/>
    <w:rsid w:val="00FD1478"/>
  </w:style>
  <w:style w:type="paragraph" w:styleId="a4">
    <w:name w:val="footer"/>
    <w:basedOn w:val="a"/>
    <w:link w:val="Char0"/>
    <w:uiPriority w:val="99"/>
    <w:unhideWhenUsed/>
    <w:rsid w:val="00FD1478"/>
    <w:pPr>
      <w:tabs>
        <w:tab w:val="center" w:pos="4320"/>
        <w:tab w:val="right" w:pos="8640"/>
      </w:tabs>
      <w:spacing w:after="0" w:line="240" w:lineRule="auto"/>
    </w:pPr>
  </w:style>
  <w:style w:type="character" w:customStyle="1" w:styleId="Char0">
    <w:name w:val="تذييل الصفحة Char"/>
    <w:basedOn w:val="a0"/>
    <w:link w:val="a4"/>
    <w:uiPriority w:val="99"/>
    <w:rsid w:val="00FD1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1737</Words>
  <Characters>9903</Characters>
  <Application>Microsoft Office Word</Application>
  <DocSecurity>0</DocSecurity>
  <Lines>82</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2021-05-26T17:14:00Z</dcterms:created>
  <dcterms:modified xsi:type="dcterms:W3CDTF">2021-05-26T17:36:00Z</dcterms:modified>
</cp:coreProperties>
</file>